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i/>
          <w:i/>
        </w:rPr>
      </w:pPr>
      <w:r>
        <w:rPr>
          <w:b/>
          <w:u w:val="single"/>
        </w:rPr>
        <w:t xml:space="preserve">Histoire des relations social-climat pour le collectif Bruxellois « Rendre visible l’invisible » </w:t>
      </w:r>
    </w:p>
    <w:p>
      <w:pPr>
        <w:pStyle w:val="Normal"/>
        <w:rPr/>
      </w:pPr>
      <w:r>
        <w:rPr/>
        <w:t xml:space="preserve">L’histoire des relations entre ces 2 thèmes est déjà longue. C’est, en tout cas depuis 1987, celle de la notion de « développement durable ». </w:t>
      </w:r>
      <w:r>
        <w:rPr>
          <w:b/>
        </w:rPr>
        <w:t>Aujourd’hui fort décrié, le « développement durable » a quand même présenté 2 intérêts majeurs durant ces 30 dernières années :</w:t>
      </w:r>
    </w:p>
    <w:p>
      <w:pPr>
        <w:pStyle w:val="ListParagraph"/>
        <w:numPr>
          <w:ilvl w:val="0"/>
          <w:numId w:val="1"/>
        </w:numPr>
        <w:rPr/>
      </w:pPr>
      <w:r>
        <w:rPr/>
        <w:t xml:space="preserve">La définition du rapport de la Commission Bruntlandt (ONU) pointe la nécessaire </w:t>
      </w:r>
      <w:r>
        <w:rPr>
          <w:b/>
        </w:rPr>
        <w:t>prise en compte des autres dans l’espace</w:t>
      </w:r>
      <w:r>
        <w:rPr/>
        <w:t xml:space="preserve"> (autres peuples / </w:t>
      </w:r>
      <w:r>
        <w:rPr>
          <w:i/>
        </w:rPr>
        <w:t>ce que je fais ici a un impact ailleurs</w:t>
      </w:r>
      <w:r>
        <w:rPr/>
        <w:t xml:space="preserve">) </w:t>
      </w:r>
      <w:r>
        <w:rPr>
          <w:b/>
        </w:rPr>
        <w:t>et dans le temps</w:t>
      </w:r>
      <w:r>
        <w:rPr/>
        <w:t xml:space="preserve"> (générations futures / </w:t>
      </w:r>
      <w:r>
        <w:rPr>
          <w:i/>
        </w:rPr>
        <w:t>ce que je fais maintenant a un impact plus tard</w:t>
      </w:r>
      <w:r>
        <w:rPr/>
        <w:t xml:space="preserve">) </w:t>
      </w:r>
      <w:r>
        <w:rPr>
          <w:rFonts w:eastAsia="Wingdings" w:cs="Wingdings" w:ascii="Wingdings" w:hAnsi="Wingdings"/>
        </w:rPr>
        <w:t></w:t>
      </w:r>
      <w:r>
        <w:rPr>
          <w:i/>
        </w:rPr>
        <w:t xml:space="preserve"> </w:t>
      </w:r>
      <w:r>
        <w:rPr/>
        <w:t>D’où le terme « durable ».</w:t>
      </w:r>
    </w:p>
    <w:p>
      <w:pPr>
        <w:pStyle w:val="ListParagraph"/>
        <w:numPr>
          <w:ilvl w:val="0"/>
          <w:numId w:val="1"/>
        </w:numPr>
        <w:rPr/>
      </w:pPr>
      <w:r>
        <w:rPr/>
        <w:t xml:space="preserve">L’Agenda 21 du Sommet de la terre à Rio en 1992 pointe les </w:t>
      </w:r>
      <w:r>
        <w:rPr>
          <w:b/>
        </w:rPr>
        <w:t>liens entre environnement, social et économie : les 3 P</w:t>
      </w:r>
      <w:r>
        <w:rPr/>
        <w:t xml:space="preserve"> (people, planet, profit). </w:t>
      </w:r>
      <w:r>
        <w:rPr>
          <w:b/>
        </w:rPr>
        <w:t>En 2015, l’Agenda 2030</w:t>
      </w:r>
      <w:r>
        <w:rPr/>
        <w:t xml:space="preserve"> élargit la transversalité entre ces thèmes en y ajoutant 2 autres P : « paix » et « partenariats ». L’Agenda 2030 présente </w:t>
      </w:r>
      <w:r>
        <w:rPr>
          <w:b/>
        </w:rPr>
        <w:t>17 objectifs de développement durable</w:t>
      </w:r>
      <w:r>
        <w:rPr/>
        <w:t>, tous interconnectés dont, en bonne place (n°1) l’éradication de la pauvreté + n°10 la lutte contre les inégalités + n°13 la lutte contre les changements climatiques.</w:t>
      </w:r>
    </w:p>
    <w:p>
      <w:pPr>
        <w:pStyle w:val="Normal"/>
        <w:rPr/>
      </w:pPr>
      <w:r>
        <w:rPr/>
        <w:t xml:space="preserve">Dans ce contexte, le développement durable est devenu une </w:t>
      </w:r>
      <w:r>
        <w:rPr>
          <w:b/>
        </w:rPr>
        <w:t>compétence ministérielle</w:t>
      </w:r>
      <w:r>
        <w:rPr/>
        <w:t>, avec ses plans d’actions et ses (petits) budgets. La Belgique et l’Europe doivent rendre des comptes à l’ONU.</w:t>
      </w:r>
    </w:p>
    <w:p>
      <w:pPr>
        <w:pStyle w:val="Normal"/>
        <w:rPr/>
      </w:pPr>
      <w:r>
        <w:rPr>
          <w:b/>
        </w:rPr>
        <w:t>Dès le départ, cette notion a été contestée :</w:t>
      </w:r>
      <w:r>
        <w:rPr/>
        <w:t xml:space="preserve"> ambigüe, contradictoire, hypocrite (il n’y a pas de croissance durable possible sur une planète finie, disait déjà le Club de Rome en 1972) </w:t>
      </w:r>
      <w:r>
        <w:rPr>
          <w:rFonts w:eastAsia="Wingdings" w:cs="Wingdings" w:ascii="Wingdings" w:hAnsi="Wingdings"/>
        </w:rPr>
        <w:t></w:t>
      </w:r>
      <w:r>
        <w:rPr/>
        <w:t xml:space="preserve"> mouvement pour la décroissance. </w:t>
      </w:r>
    </w:p>
    <w:p>
      <w:pPr>
        <w:pStyle w:val="Normal"/>
        <w:rPr/>
      </w:pPr>
      <w:r>
        <w:rPr/>
        <w:t xml:space="preserve">Néanmoins, c’est dans ce cadre institutionnel du développement durable que </w:t>
      </w:r>
      <w:r>
        <w:rPr>
          <w:b/>
        </w:rPr>
        <w:t>les liens se sont tissés au fil des ans entre acteurs sociaux et environnementaux</w:t>
      </w:r>
      <w:r>
        <w:rPr/>
        <w:t xml:space="preserve">, ex en Belgique francophone, au sein de la plateforme Associations 21 (de telles plateformes existent toujours, aux différents niveaux de pouvoir). D’où le cheminement d’organisations comme ATD-Quart-Monde et Luttes Solidarités Travail qui ont participé depuis 1994 aux concertations du </w:t>
      </w:r>
      <w:r>
        <w:rPr>
          <w:b/>
        </w:rPr>
        <w:t>Rapport Général sur la Pauvreté</w:t>
      </w:r>
      <w:r>
        <w:rPr/>
        <w:t xml:space="preserve"> (ayant revendiqué sa méthodologie participative dès le départ) et qui ont proposé début 2018 que le </w:t>
      </w:r>
      <w:r>
        <w:rPr>
          <w:b/>
        </w:rPr>
        <w:t>rapport 2019</w:t>
      </w:r>
      <w:r>
        <w:rPr/>
        <w:t xml:space="preserve"> soit consacré aux liens entre </w:t>
      </w:r>
      <w:r>
        <w:rPr>
          <w:b/>
        </w:rPr>
        <w:t>Durabilité et Pauvreté</w:t>
      </w:r>
      <w:r>
        <w:rPr/>
        <w:t>.</w:t>
      </w:r>
    </w:p>
    <w:p>
      <w:pPr>
        <w:pStyle w:val="Normal"/>
        <w:rPr/>
      </w:pPr>
      <w:r>
        <w:rPr>
          <w:b/>
        </w:rPr>
        <w:t>2018-2019 : année de la rupture :</w:t>
      </w:r>
      <w:r>
        <w:rPr/>
        <w:t xml:space="preserve"> le développement durable, on n’y croit plus, il faut aller plus loin :</w:t>
      </w:r>
    </w:p>
    <w:p>
      <w:pPr>
        <w:pStyle w:val="ListParagraph"/>
        <w:numPr>
          <w:ilvl w:val="0"/>
          <w:numId w:val="3"/>
        </w:numPr>
        <w:rPr/>
      </w:pPr>
      <w:r>
        <w:rPr/>
        <w:t>Climat : manifestations des jeunes, multiplication des catastrophes climatiques</w:t>
      </w:r>
    </w:p>
    <w:p>
      <w:pPr>
        <w:pStyle w:val="ListParagraph"/>
        <w:numPr>
          <w:ilvl w:val="0"/>
          <w:numId w:val="3"/>
        </w:numPr>
        <w:rPr>
          <w:b/>
          <w:b/>
        </w:rPr>
      </w:pPr>
      <w:r>
        <w:rPr/>
        <w:t>Social : montée des mouvements sociaux dans de nombreux pays, dont la France (gilets jaunes et manifestations contre la réforme des retraites, durement réprimées).</w:t>
        <w:br/>
      </w:r>
    </w:p>
    <w:p>
      <w:pPr>
        <w:pStyle w:val="ListParagraph"/>
        <w:numPr>
          <w:ilvl w:val="0"/>
          <w:numId w:val="4"/>
        </w:numPr>
        <w:rPr>
          <w:b/>
          <w:b/>
        </w:rPr>
      </w:pPr>
      <w:r>
        <w:rPr/>
        <w:t>Dans ce contexte de rupture et de forte polarisation idéologique (la droite plus à droite, la gauche plus à gauche, les riches plus riches, les pauvres plus pauvres), o</w:t>
      </w:r>
      <w:r>
        <w:rPr>
          <w:b/>
        </w:rPr>
        <w:t xml:space="preserve">n voit fleurir de tels articles </w:t>
      </w:r>
      <w:bookmarkStart w:id="0" w:name="_GoBack"/>
      <w:bookmarkEnd w:id="0"/>
      <w:r>
        <w:rPr>
          <w:b/>
        </w:rPr>
        <w:t>:</w:t>
      </w:r>
    </w:p>
    <w:p>
      <w:pPr>
        <w:pStyle w:val="ListParagraph"/>
        <w:numPr>
          <w:ilvl w:val="0"/>
          <w:numId w:val="2"/>
        </w:numPr>
        <w:rPr>
          <w:color w:val="0000FF"/>
          <w:u w:val="single"/>
        </w:rPr>
      </w:pPr>
      <w:r>
        <w:rPr/>
        <w:t>« Sauver les riches de la catastrophe écologique, le devenir autoritaire du capitalisme contemporain » </w:t>
      </w:r>
      <w:hyperlink r:id="rId2">
        <w:r>
          <w:rPr>
            <w:rStyle w:val="LienInternet"/>
          </w:rPr>
          <w:t>https://arc-culture.be/blog/publications/sauver-les-riches-de-la-catastrophe-ecologique-le-devenir-autoritaire-du-capitalisme-contemporain</w:t>
        </w:r>
      </w:hyperlink>
    </w:p>
    <w:p>
      <w:pPr>
        <w:pStyle w:val="ListParagraph"/>
        <w:numPr>
          <w:ilvl w:val="0"/>
          <w:numId w:val="2"/>
        </w:numPr>
        <w:rPr>
          <w:color w:val="auto"/>
          <w:u w:val="none"/>
        </w:rPr>
      </w:pPr>
      <w:r>
        <w:rPr/>
        <w:t xml:space="preserve">Après le déni climatique, le déni inégalitaire - Thomas Piketty, 14 janvier 2020 </w:t>
      </w:r>
      <w:hyperlink r:id="rId3">
        <w:r>
          <w:rPr>
            <w:rStyle w:val="LienInternet"/>
          </w:rPr>
          <w:t>https://www.lemonde.fr/blog/piketty/2020/01/14/apres-le-deni-climatique-le-deni-inegalitaire/</w:t>
        </w:r>
      </w:hyperlink>
    </w:p>
    <w:p>
      <w:pPr>
        <w:pStyle w:val="ListParagraph"/>
        <w:numPr>
          <w:ilvl w:val="0"/>
          <w:numId w:val="2"/>
        </w:numPr>
        <w:spacing w:before="0" w:after="0"/>
        <w:contextualSpacing/>
        <w:rPr/>
      </w:pPr>
      <w:r>
        <w:rPr/>
        <w:t xml:space="preserve">« OK boomer » ou la déchirure d’une insoutenable vision du monde », Guillaume Lohest </w:t>
      </w:r>
      <w:hyperlink r:id="rId4">
        <w:r>
          <w:rPr>
            <w:rStyle w:val="LienInternet"/>
            <w:rFonts w:cs="Calibri" w:cstheme="minorHAnsi"/>
            <w:color w:val="1155CC"/>
          </w:rPr>
          <w:t>https://blogs.mediapart.fr/guillaume-lohest/blog/131219/ok-boomer-ou-la-dechirure-dune-insoutenable-vision-du-monde?utm_source=twitter&amp;utm_medium=social&amp;utm_campaign=Sharing&amp;xtor=CS3-67&amp;fbclid=IwAR0DD8LX_fVLhdMTs7fEdC9IUNKKYMyePccadYQds5qxEfoej5D76ANg1cE</w:t>
        </w:r>
      </w:hyperlink>
      <w:r>
        <w:rPr>
          <w:rFonts w:cs="Calibri" w:cstheme="minorHAnsi"/>
          <w:color w:val="000000"/>
        </w:rPr>
        <w:t>  </w:t>
      </w:r>
    </w:p>
    <w:p>
      <w:pPr>
        <w:pStyle w:val="Normal"/>
        <w:spacing w:before="0" w:after="0"/>
        <w:rPr/>
      </w:pPr>
      <w:r>
        <w:rPr/>
      </w:r>
    </w:p>
    <w:p>
      <w:pPr>
        <w:pStyle w:val="Normal"/>
        <w:spacing w:before="0" w:after="0"/>
        <w:rPr>
          <w:b/>
          <w:b/>
          <w:u w:val="single"/>
        </w:rPr>
      </w:pPr>
      <w:r>
        <w:rPr>
          <w:b/>
          <w:u w:val="single"/>
        </w:rPr>
        <w:t>Que faire à notre niveau ? Argumenter nos revendications !</w:t>
      </w:r>
    </w:p>
    <w:p>
      <w:pPr>
        <w:pStyle w:val="Normal"/>
        <w:spacing w:before="0" w:after="0"/>
        <w:rPr/>
      </w:pPr>
      <w:r>
        <w:rPr>
          <w:b/>
        </w:rPr>
        <w:t>Climat :</w:t>
      </w:r>
      <w:r>
        <w:rPr/>
        <w:t xml:space="preserve"> le découplage est impossible entre la croissance du PIB et la réduction des émissions de gaz à effet de serre : pour réduire celles-ci, il faut moins produire et moins consommer.</w:t>
      </w:r>
    </w:p>
    <w:p>
      <w:pPr>
        <w:pStyle w:val="Normal"/>
        <w:spacing w:before="0" w:after="0"/>
        <w:rPr/>
      </w:pPr>
      <w:r>
        <w:rPr>
          <w:b/>
        </w:rPr>
        <w:t>Social :</w:t>
      </w:r>
      <w:r>
        <w:rPr/>
        <w:t xml:space="preserve"> on ne peut plus invoquer la redistribution d’excédents (les riches les accaparent) </w:t>
      </w:r>
    </w:p>
    <w:p>
      <w:pPr>
        <w:pStyle w:val="Normal"/>
        <w:spacing w:before="0" w:after="0"/>
        <w:rPr/>
      </w:pPr>
      <w:r>
        <w:rPr/>
      </w:r>
    </w:p>
    <w:p>
      <w:pPr>
        <w:pStyle w:val="ListParagraph"/>
        <w:numPr>
          <w:ilvl w:val="0"/>
          <w:numId w:val="4"/>
        </w:numPr>
        <w:spacing w:before="0" w:after="0"/>
        <w:contextualSpacing/>
        <w:rPr/>
      </w:pPr>
      <w:r>
        <w:rPr>
          <w:b/>
        </w:rPr>
        <w:t>Même constat entre social et climat</w:t>
      </w:r>
      <w:r>
        <w:rPr/>
        <w:t xml:space="preserve"> </w:t>
      </w:r>
      <w:r>
        <w:rPr>
          <w:rFonts w:eastAsia="Wingdings" w:cs="Wingdings" w:ascii="Wingdings" w:hAnsi="Wingdings"/>
        </w:rPr>
        <w:t></w:t>
      </w:r>
      <w:r>
        <w:rPr/>
        <w:t xml:space="preserve"> dépasser le schisme entre rouges et verts, on est bien d’accord que le capitalisme est un monstre qui se nourrit de ce qu’il détruit.</w:t>
      </w:r>
    </w:p>
    <w:p>
      <w:pPr>
        <w:pStyle w:val="Normal"/>
        <w:spacing w:before="0" w:after="0"/>
        <w:rPr/>
      </w:pPr>
      <w:r>
        <w:rPr/>
      </w:r>
    </w:p>
    <w:p>
      <w:pPr>
        <w:pStyle w:val="ListParagraph"/>
        <w:numPr>
          <w:ilvl w:val="0"/>
          <w:numId w:val="4"/>
        </w:numPr>
        <w:spacing w:before="0" w:after="0"/>
        <w:contextualSpacing/>
        <w:rPr>
          <w:b/>
          <w:b/>
        </w:rPr>
      </w:pPr>
      <w:r>
        <w:rPr>
          <w:b/>
        </w:rPr>
        <w:t>A chaque réunion du Collectif « Rendre visible l’invisible », un exemple :</w:t>
      </w:r>
    </w:p>
    <w:p>
      <w:pPr>
        <w:pStyle w:val="ListParagraph"/>
        <w:numPr>
          <w:ilvl w:val="0"/>
          <w:numId w:val="5"/>
        </w:numPr>
        <w:spacing w:before="0" w:after="0"/>
        <w:contextualSpacing/>
        <w:rPr/>
      </w:pPr>
      <w:r>
        <w:rPr>
          <w:u w:val="single"/>
        </w:rPr>
        <w:t>L’individualisation des droits :</w:t>
      </w:r>
      <w:r>
        <w:rPr/>
        <w:t xml:space="preserve"> le Cabinet Carbone 4 de Jancovici (France) a montré qu’une des mesures les plus efficaces au niveau individuel, avec la réduction de la consommation de viande, c’est des logements plus concentrés et efficients. Bien sûr les mesures individuelles ne suffisent pas. Mais en tout cas : </w:t>
      </w:r>
      <w:r>
        <w:rPr>
          <w:b/>
        </w:rPr>
        <w:t>la cohabitation protège le climat !</w:t>
      </w:r>
      <w:r>
        <w:rPr/>
        <w:t xml:space="preserve"> Et doit donc être encouragée ! (Jamais obligée !) </w:t>
      </w:r>
      <w:r>
        <w:rPr>
          <w:b/>
        </w:rPr>
        <w:t>L’individualisation des droits, mesure climatique :</w:t>
      </w:r>
      <w:r>
        <w:rPr/>
        <w:t xml:space="preserve"> les riches émettent plus de CO2, notamment en occupant plus de terrain par habitant, en consommant, voyageant plus etc.  </w:t>
      </w:r>
      <w:r>
        <w:rPr>
          <w:b/>
        </w:rPr>
        <w:t>En compensation, les pauvres doivent être protégés</w:t>
      </w:r>
      <w:r>
        <w:rPr/>
        <w:t>. Ceci se fonde sur des études solides, ce n’est pas qu’une intuition.</w:t>
        <w:br/>
      </w:r>
    </w:p>
    <w:p>
      <w:pPr>
        <w:pStyle w:val="ListParagraph"/>
        <w:numPr>
          <w:ilvl w:val="0"/>
          <w:numId w:val="5"/>
        </w:numPr>
        <w:spacing w:before="0" w:after="0"/>
        <w:contextualSpacing/>
        <w:rPr/>
      </w:pPr>
      <w:r>
        <w:rPr>
          <w:u w:val="single"/>
        </w:rPr>
        <w:t>Agrobusiness v/s agroécologie :</w:t>
      </w:r>
      <w:r>
        <w:rPr/>
        <w:t xml:space="preserve"> ex. en Australie, marchandisation de l’eau </w:t>
      </w:r>
      <w:r>
        <w:rPr>
          <w:rFonts w:eastAsia="Wingdings" w:cs="Wingdings" w:ascii="Wingdings" w:hAnsi="Wingdings"/>
        </w:rPr>
        <w:t></w:t>
      </w:r>
      <w:r>
        <w:rPr/>
        <w:t xml:space="preserve"> des fermiers ont fait faillite parce qu’ils ne pouvaient pas la payer, des cours d’eau ont été détournés, asséchant des territoires qui ont brûlé… Le capitalisme épuise les ressources et les humains (« ressources en consentement »), alors que l’agroécologie a fait ses preuves, elle peut assurer l’alimentation de toutes et tous en respectant mieux la terre.</w:t>
      </w:r>
    </w:p>
    <w:p>
      <w:pPr>
        <w:pStyle w:val="Normal"/>
        <w:spacing w:before="0" w:after="0"/>
        <w:rPr/>
      </w:pPr>
      <w:r>
        <w:rPr/>
      </w:r>
    </w:p>
    <w:p>
      <w:pPr>
        <w:pStyle w:val="Normal"/>
        <w:spacing w:before="0" w:after="0"/>
        <w:rPr>
          <w:b/>
          <w:b/>
        </w:rPr>
      </w:pPr>
      <w:r>
        <w:rPr/>
        <w:t xml:space="preserve">Le contexte actuel présente donc une opportunité historique. Un mouvement social, ça ne se commande pas. Pour le moment, ça bouge. </w:t>
      </w:r>
      <w:r>
        <w:rPr>
          <w:b/>
        </w:rPr>
        <w:t>Comment pouvons-nous y contribuer ?</w:t>
      </w:r>
    </w:p>
    <w:p>
      <w:pPr>
        <w:pStyle w:val="Normal"/>
        <w:spacing w:before="0" w:after="0"/>
        <w:rPr/>
      </w:pPr>
      <w:r>
        <w:rPr/>
      </w:r>
    </w:p>
    <w:p>
      <w:pPr>
        <w:pStyle w:val="ListParagraph"/>
        <w:numPr>
          <w:ilvl w:val="0"/>
          <w:numId w:val="6"/>
        </w:numPr>
        <w:spacing w:before="0" w:after="0"/>
        <w:contextualSpacing/>
        <w:rPr/>
      </w:pPr>
      <w:r>
        <w:rPr/>
        <w:t>Nos ressources et nos expériences : ex. méthode du croisement des savoirs d’ATD</w:t>
      </w:r>
    </w:p>
    <w:p>
      <w:pPr>
        <w:pStyle w:val="ListParagraph"/>
        <w:numPr>
          <w:ilvl w:val="0"/>
          <w:numId w:val="6"/>
        </w:numPr>
        <w:spacing w:before="0" w:after="0"/>
        <w:contextualSpacing/>
        <w:rPr/>
      </w:pPr>
      <w:r>
        <w:rPr/>
        <w:t>Nos événements : ex forum durabilité et pauvreté d’Associations 21</w:t>
      </w:r>
    </w:p>
    <w:p>
      <w:pPr>
        <w:pStyle w:val="ListParagraph"/>
        <w:numPr>
          <w:ilvl w:val="0"/>
          <w:numId w:val="6"/>
        </w:numPr>
        <w:spacing w:before="0" w:after="0"/>
        <w:contextualSpacing/>
        <w:rPr/>
      </w:pPr>
      <w:r>
        <w:rPr/>
        <w:t>Nos réseaux…</w:t>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Wingdings">
    <w:charset w:val="02"/>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2018"/>
      <w:numFmt w:val="bullet"/>
      <w:lvlText w:val=""/>
      <w:lvlJc w:val="left"/>
      <w:pPr>
        <w:ind w:left="360" w:hanging="360"/>
      </w:pPr>
      <w:rPr>
        <w:rFonts w:ascii="Wingdings" w:hAnsi="Wingdings" w:cs="Wingdings" w:hint="default"/>
        <w:rFonts w:cs=""/>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Pr>
    </w:lvl>
  </w:abstractNum>
  <w:abstractNum w:abstractNumId="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lvl w:ilvl="0">
      <w:start w:val="1"/>
      <w:numFmt w:val="bullet"/>
      <w:lvlText w:val=""/>
      <w:lvlJc w:val="left"/>
      <w:pPr>
        <w:ind w:left="36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fr-FR" w:eastAsia="ko-KR"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맑은 고딕" w:cs="" w:asciiTheme="minorHAnsi" w:cstheme="minorBidi" w:eastAsiaTheme="minorEastAsia" w:hAnsiTheme="minorHAnsi"/>
        <w:sz w:val="22"/>
        <w:szCs w:val="22"/>
        <w:lang w:val="fr-FR" w:eastAsia="ko-KR"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맑은 고딕" w:cs="" w:asciiTheme="minorHAnsi" w:cstheme="minorBidi" w:eastAsiaTheme="minorEastAsia" w:hAnsiTheme="minorHAnsi"/>
      <w:color w:val="auto"/>
      <w:kern w:val="0"/>
      <w:sz w:val="22"/>
      <w:szCs w:val="22"/>
      <w:lang w:val="fr-FR" w:eastAsia="ko-KR" w:bidi="ar-SA"/>
    </w:rPr>
  </w:style>
  <w:style w:type="character" w:styleId="DefaultParagraphFont" w:default="1">
    <w:name w:val="Default Paragraph Font"/>
    <w:uiPriority w:val="1"/>
    <w:semiHidden/>
    <w:unhideWhenUsed/>
    <w:qFormat/>
    <w:rPr/>
  </w:style>
  <w:style w:type="character" w:styleId="LienInternet">
    <w:name w:val="Lien Internet"/>
    <w:basedOn w:val="DefaultParagraphFont"/>
    <w:uiPriority w:val="99"/>
    <w:semiHidden/>
    <w:unhideWhenUsed/>
    <w:rsid w:val="00ac2b76"/>
    <w:rPr>
      <w:color w:val="0000FF"/>
      <w:u w:val="single"/>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185994"/>
    <w:pPr>
      <w:spacing w:before="0" w:after="160"/>
      <w:ind w:left="720" w:hanging="0"/>
      <w:contextualSpacing/>
    </w:pPr>
    <w:rPr/>
  </w:style>
  <w:style w:type="paragraph" w:styleId="NormalWeb">
    <w:name w:val="Normal (Web)"/>
    <w:basedOn w:val="Normal"/>
    <w:uiPriority w:val="99"/>
    <w:semiHidden/>
    <w:unhideWhenUsed/>
    <w:qFormat/>
    <w:rsid w:val="00ef1324"/>
    <w:pPr>
      <w:spacing w:lineRule="auto" w:line="240" w:beforeAutospacing="1" w:afterAutospacing="1"/>
    </w:pPr>
    <w:rPr>
      <w:rFonts w:ascii="Times New Roman" w:hAnsi="Times New Roman" w:eastAsia="Times New Roman" w:cs="Times New Roman"/>
      <w:sz w:val="24"/>
      <w:szCs w:val="24"/>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arc-culture.be/blog/publications/sauver-les-riches-de-la-catastrophe-ecologique-le-devenir-autoritaire-du-capitalisme-contemporain" TargetMode="External"/><Relationship Id="rId3" Type="http://schemas.openxmlformats.org/officeDocument/2006/relationships/hyperlink" Target="https://www.lemonde.fr/blog/piketty/2020/01/14/apres-le-deni-climatique-le-deni-inegalitaire/" TargetMode="External"/><Relationship Id="rId4" Type="http://schemas.openxmlformats.org/officeDocument/2006/relationships/hyperlink" Target="https://blogs.mediapart.fr/guillaume-lohest/blog/131219/ok-boomer-ou-la-dechirure-dune-insoutenable-vision-du-monde?utm_source=twitter&amp;utm_medium=social&amp;utm_campaign=Sharing&amp;xtor=CS3-67&amp;fbclid=IwAR0DD8LX_fVLhdMTs7fEdC9IUNKKYMyePccadYQds5qxEfoej5D76ANg1cE"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TotalTime>
  <Application>LibreOffice/6.4.3.2$Windows_X86_64 LibreOffice_project/747b5d0ebf89f41c860ec2a39efd7cb15b54f2d8</Application>
  <Pages>2</Pages>
  <Words>836</Words>
  <Characters>4762</Characters>
  <CharactersWithSpaces>5566</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2020-01-13T11:55:00Z</dcterms:created>
  <dc:creator>Antoinette Brouyaux</dc:creator>
  <dc:description/>
  <dc:language>fr-BE</dc:language>
  <cp:lastModifiedBy/>
  <dcterms:modified xsi:type="dcterms:W3CDTF">2020-05-15T12:47:26Z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